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7F7D" w14:textId="57A2F84E" w:rsidR="00681166" w:rsidRPr="00600EE2" w:rsidRDefault="00600EE2">
      <w:pPr>
        <w:rPr>
          <w:sz w:val="36"/>
          <w:szCs w:val="36"/>
        </w:rPr>
      </w:pPr>
      <w:r w:rsidRPr="00600EE2">
        <w:rPr>
          <w:sz w:val="36"/>
          <w:szCs w:val="36"/>
        </w:rPr>
        <w:t>Standing Rules</w:t>
      </w:r>
    </w:p>
    <w:p w14:paraId="4E96D656" w14:textId="77777777" w:rsidR="00681166" w:rsidRDefault="00681166" w:rsidP="00681166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ARTICLE VIII FINANCES</w:t>
      </w:r>
    </w:p>
    <w:p w14:paraId="728E6AAD" w14:textId="0E1B6745" w:rsidR="00681166" w:rsidRDefault="00681166" w:rsidP="00681166">
      <w:pPr>
        <w:rPr>
          <w:strike/>
        </w:rPr>
      </w:pPr>
      <w:r w:rsidRPr="00600EE2">
        <w:rPr>
          <w:strike/>
        </w:rPr>
        <w:t>A. Quarterly Audit – The Treasurer shall provide a complete audit package to the Executive</w:t>
      </w:r>
      <w:r w:rsidR="00F85CCB">
        <w:rPr>
          <w:strike/>
        </w:rPr>
        <w:t xml:space="preserve"> </w:t>
      </w:r>
      <w:r w:rsidRPr="00600EE2">
        <w:rPr>
          <w:strike/>
        </w:rPr>
        <w:t>Board the month following the close of the audit quarter. Said audit shall be placed on the</w:t>
      </w:r>
      <w:r w:rsidR="00F85CCB">
        <w:rPr>
          <w:strike/>
        </w:rPr>
        <w:t xml:space="preserve"> </w:t>
      </w:r>
      <w:r w:rsidRPr="00600EE2">
        <w:rPr>
          <w:strike/>
        </w:rPr>
        <w:t>General Board Agenda for that month. The second (2nd) signatory on all audits shall be the</w:t>
      </w:r>
      <w:r w:rsidR="00F85CCB">
        <w:rPr>
          <w:strike/>
        </w:rPr>
        <w:t xml:space="preserve"> </w:t>
      </w:r>
      <w:r w:rsidRPr="00600EE2">
        <w:rPr>
          <w:strike/>
        </w:rPr>
        <w:t>President or designated by the President.</w:t>
      </w:r>
    </w:p>
    <w:p w14:paraId="7E061159" w14:textId="60469051" w:rsidR="00681166" w:rsidRPr="00F85CCB" w:rsidRDefault="00681166" w:rsidP="00681166">
      <w:pPr>
        <w:rPr>
          <w:rFonts w:ascii="Calibri" w:hAnsi="Calibri" w:cs="Calibri"/>
          <w:sz w:val="24"/>
          <w:szCs w:val="24"/>
        </w:rPr>
      </w:pPr>
      <w:r w:rsidRPr="00F85CCB">
        <w:rPr>
          <w:rFonts w:ascii="Calibri" w:hAnsi="Calibri" w:cs="Calibri"/>
          <w:sz w:val="24"/>
          <w:szCs w:val="24"/>
        </w:rPr>
        <w:t xml:space="preserve">B. Reporting – The Treasurer shall prepare a monthly report for the </w:t>
      </w:r>
      <w:r w:rsidRPr="00F85CCB">
        <w:rPr>
          <w:rFonts w:ascii="Calibri" w:hAnsi="Calibri" w:cs="Calibri"/>
          <w:strike/>
          <w:color w:val="FF0000"/>
          <w:sz w:val="24"/>
          <w:szCs w:val="24"/>
        </w:rPr>
        <w:t>Executive</w:t>
      </w:r>
      <w:r w:rsidRPr="00F85CC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F85CCB">
        <w:rPr>
          <w:rFonts w:ascii="Calibri" w:hAnsi="Calibri" w:cs="Calibri"/>
          <w:color w:val="4472C4" w:themeColor="accent1"/>
          <w:sz w:val="24"/>
          <w:szCs w:val="24"/>
          <w:u w:val="single"/>
        </w:rPr>
        <w:t>General</w:t>
      </w:r>
      <w:r w:rsidRPr="00F85CCB">
        <w:rPr>
          <w:rFonts w:ascii="Calibri" w:hAnsi="Calibri" w:cs="Calibri"/>
          <w:color w:val="4472C4" w:themeColor="accent1"/>
          <w:sz w:val="24"/>
          <w:szCs w:val="24"/>
        </w:rPr>
        <w:t xml:space="preserve"> </w:t>
      </w:r>
      <w:r w:rsidRPr="00F85CCB">
        <w:rPr>
          <w:rFonts w:ascii="Calibri" w:hAnsi="Calibri" w:cs="Calibri"/>
          <w:sz w:val="24"/>
          <w:szCs w:val="24"/>
        </w:rPr>
        <w:t>Board which</w:t>
      </w:r>
      <w:r w:rsidR="00F85CCB">
        <w:rPr>
          <w:rFonts w:ascii="Calibri" w:hAnsi="Calibri" w:cs="Calibri"/>
          <w:sz w:val="24"/>
          <w:szCs w:val="24"/>
        </w:rPr>
        <w:t xml:space="preserve"> </w:t>
      </w:r>
      <w:r w:rsidR="00F85CCB" w:rsidRPr="00F85CCB">
        <w:rPr>
          <w:rFonts w:ascii="Calibri" w:hAnsi="Calibri" w:cs="Calibri"/>
          <w:sz w:val="24"/>
          <w:szCs w:val="24"/>
        </w:rPr>
        <w:t>includes but</w:t>
      </w:r>
      <w:r w:rsidRPr="00F85CCB">
        <w:rPr>
          <w:rFonts w:ascii="Calibri" w:hAnsi="Calibri" w:cs="Calibri"/>
          <w:sz w:val="24"/>
          <w:szCs w:val="24"/>
        </w:rPr>
        <w:t xml:space="preserve"> is not limited </w:t>
      </w:r>
      <w:proofErr w:type="gramStart"/>
      <w:r w:rsidRPr="00F85CCB">
        <w:rPr>
          <w:rFonts w:ascii="Calibri" w:hAnsi="Calibri" w:cs="Calibri"/>
          <w:sz w:val="24"/>
          <w:szCs w:val="24"/>
        </w:rPr>
        <w:t>to:</w:t>
      </w:r>
      <w:proofErr w:type="gramEnd"/>
      <w:r w:rsidRPr="00F85CCB">
        <w:rPr>
          <w:rFonts w:ascii="Calibri" w:hAnsi="Calibri" w:cs="Calibri"/>
          <w:sz w:val="24"/>
          <w:szCs w:val="24"/>
        </w:rPr>
        <w:t xml:space="preserve"> a list of Demand Warrants submitted to DONE, but not yet</w:t>
      </w:r>
      <w:r w:rsidR="00F85CCB">
        <w:rPr>
          <w:rFonts w:ascii="Calibri" w:hAnsi="Calibri" w:cs="Calibri"/>
          <w:sz w:val="24"/>
          <w:szCs w:val="24"/>
        </w:rPr>
        <w:t xml:space="preserve"> </w:t>
      </w:r>
      <w:r w:rsidRPr="00F85CCB">
        <w:rPr>
          <w:rFonts w:ascii="Calibri" w:hAnsi="Calibri" w:cs="Calibri"/>
          <w:sz w:val="24"/>
          <w:szCs w:val="24"/>
        </w:rPr>
        <w:t>issued by the Controller's Office; a list of all approved Motions or Resolutions for</w:t>
      </w:r>
      <w:r w:rsidR="00F85CCB">
        <w:rPr>
          <w:rFonts w:ascii="Calibri" w:hAnsi="Calibri" w:cs="Calibri"/>
          <w:sz w:val="24"/>
          <w:szCs w:val="24"/>
        </w:rPr>
        <w:t xml:space="preserve"> </w:t>
      </w:r>
      <w:r w:rsidRPr="00F85CCB">
        <w:rPr>
          <w:rFonts w:ascii="Calibri" w:hAnsi="Calibri" w:cs="Calibri"/>
          <w:sz w:val="24"/>
          <w:szCs w:val="24"/>
        </w:rPr>
        <w:t>expenditures not yet purchased or submitted to DONE; and a list of all outstanding invoices</w:t>
      </w:r>
      <w:r w:rsidR="00F85CCB">
        <w:rPr>
          <w:rFonts w:ascii="Calibri" w:hAnsi="Calibri" w:cs="Calibri"/>
          <w:sz w:val="24"/>
          <w:szCs w:val="24"/>
        </w:rPr>
        <w:t xml:space="preserve"> </w:t>
      </w:r>
      <w:r w:rsidRPr="00F85CCB">
        <w:rPr>
          <w:rFonts w:ascii="Calibri" w:hAnsi="Calibri" w:cs="Calibri"/>
          <w:sz w:val="24"/>
          <w:szCs w:val="24"/>
        </w:rPr>
        <w:t>not for which is not otherwise accounted.</w:t>
      </w:r>
    </w:p>
    <w:p w14:paraId="79D53B49" w14:textId="77777777" w:rsidR="00681166" w:rsidRPr="00600EE2" w:rsidRDefault="00681166" w:rsidP="00681166"/>
    <w:p w14:paraId="3EC87B4E" w14:textId="2C521245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-Bold" w:hAnsi="Calibri-Bold" w:cs="Calibri-Bold"/>
          <w:b/>
          <w:bCs/>
          <w:sz w:val="28"/>
          <w:szCs w:val="28"/>
        </w:rPr>
        <w:t>ARTICLE III AUXILIARY MEMBERS</w:t>
      </w:r>
    </w:p>
    <w:p w14:paraId="1AEC905A" w14:textId="0F294F00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Section 1C</w:t>
      </w:r>
      <w:r>
        <w:rPr>
          <w:rFonts w:ascii="Calibri" w:hAnsi="Calibri" w:cs="Calibri"/>
          <w:sz w:val="24"/>
          <w:szCs w:val="24"/>
        </w:rPr>
        <w:t>. Council Liaisons and Representatives – Council Liaisons and Representatives are formal</w:t>
      </w:r>
    </w:p>
    <w:p w14:paraId="006A9FDF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positions appointed to inform the Board and public of developments within various sectors</w:t>
      </w:r>
    </w:p>
    <w:p w14:paraId="7D40A32B" w14:textId="26FF65E5" w:rsidR="00681166" w:rsidRP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 government. They serve as the point of contact for the Council between the government</w:t>
      </w:r>
    </w:p>
    <w:p w14:paraId="33C0ADBB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agencies and offices. They may be given the authority to represent the Council at official</w:t>
      </w:r>
    </w:p>
    <w:p w14:paraId="01D5BFF8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functions or relate board actions to the various agencies. The Auxiliary Officers shall</w:t>
      </w:r>
    </w:p>
    <w:p w14:paraId="00324931" w14:textId="77777777" w:rsidR="00681166" w:rsidRPr="00F85CCB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include, but are not limited to the following position(s</w:t>
      </w:r>
      <w:r w:rsidRPr="00681166">
        <w:rPr>
          <w:rFonts w:ascii="Calibri" w:hAnsi="Calibri" w:cs="Calibri"/>
          <w:strike/>
          <w:sz w:val="24"/>
          <w:szCs w:val="24"/>
        </w:rPr>
        <w:t xml:space="preserve">): </w:t>
      </w:r>
      <w:r w:rsidRPr="00F85CCB">
        <w:rPr>
          <w:rFonts w:ascii="Calibri" w:hAnsi="Calibri" w:cs="Calibri"/>
          <w:strike/>
          <w:color w:val="FF0000"/>
          <w:sz w:val="24"/>
          <w:szCs w:val="24"/>
        </w:rPr>
        <w:t>Budget Advocate Representatives,</w:t>
      </w:r>
    </w:p>
    <w:p w14:paraId="242E83D8" w14:textId="77777777" w:rsidR="00681166" w:rsidRPr="00F85CCB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sz w:val="24"/>
          <w:szCs w:val="24"/>
        </w:rPr>
      </w:pPr>
      <w:r w:rsidRPr="00F85CCB">
        <w:rPr>
          <w:rFonts w:ascii="Calibri" w:hAnsi="Calibri" w:cs="Calibri"/>
          <w:strike/>
          <w:color w:val="FF0000"/>
          <w:sz w:val="24"/>
          <w:szCs w:val="24"/>
        </w:rPr>
        <w:t>Liaison to the Los Angeles City Attorney, Liaison to Los Angeles City Council District 7,</w:t>
      </w:r>
    </w:p>
    <w:p w14:paraId="2784B1EF" w14:textId="77777777" w:rsidR="00681166" w:rsidRPr="00F85CCB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sz w:val="24"/>
          <w:szCs w:val="24"/>
        </w:rPr>
      </w:pPr>
      <w:r w:rsidRPr="00F85CCB">
        <w:rPr>
          <w:rFonts w:ascii="Calibri" w:hAnsi="Calibri" w:cs="Calibri"/>
          <w:strike/>
          <w:color w:val="FF0000"/>
          <w:sz w:val="24"/>
          <w:szCs w:val="24"/>
        </w:rPr>
        <w:t>Liaison to City of Los Angeles Department of Public Works, and Liaison to City of Los</w:t>
      </w:r>
    </w:p>
    <w:p w14:paraId="28AAD772" w14:textId="77777777" w:rsidR="00681166" w:rsidRPr="00F85CCB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trike/>
          <w:color w:val="FF0000"/>
          <w:sz w:val="24"/>
          <w:szCs w:val="24"/>
        </w:rPr>
      </w:pPr>
      <w:r w:rsidRPr="00F85CCB">
        <w:rPr>
          <w:rFonts w:ascii="Calibri" w:hAnsi="Calibri" w:cs="Calibri"/>
          <w:strike/>
          <w:color w:val="FF0000"/>
          <w:sz w:val="24"/>
          <w:szCs w:val="24"/>
        </w:rPr>
        <w:t>Angeles Department of Water and Power.</w:t>
      </w:r>
    </w:p>
    <w:p w14:paraId="3D17FE0A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Budget Advocate Representative</w:t>
      </w:r>
    </w:p>
    <w:p w14:paraId="5C79A65D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Liaison to the City Attorney</w:t>
      </w:r>
    </w:p>
    <w:p w14:paraId="41F02ABB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Liaison to City Council, District 7</w:t>
      </w:r>
    </w:p>
    <w:p w14:paraId="35A425D2" w14:textId="77777777" w:rsidR="00681166" w:rsidRDefault="00681166" w:rsidP="0068116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Liaison to the Department of Public Works</w:t>
      </w:r>
    </w:p>
    <w:p w14:paraId="26B2F1FB" w14:textId="754BB39D" w:rsidR="00681166" w:rsidRDefault="00681166" w:rsidP="00681166">
      <w:pPr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" w:hAnsi="Calibri" w:cs="Calibri"/>
          <w:sz w:val="24"/>
          <w:szCs w:val="24"/>
        </w:rPr>
        <w:t>5. Liaison to the Department of Water and Power</w:t>
      </w:r>
    </w:p>
    <w:p w14:paraId="52524646" w14:textId="77777777" w:rsidR="00681166" w:rsidRDefault="00681166" w:rsidP="00681166">
      <w:pPr>
        <w:rPr>
          <w:b/>
          <w:bCs/>
          <w:sz w:val="19"/>
          <w:szCs w:val="19"/>
        </w:rPr>
      </w:pPr>
    </w:p>
    <w:p w14:paraId="629EE8DD" w14:textId="77777777" w:rsidR="00681166" w:rsidRDefault="00681166" w:rsidP="00681166">
      <w:pPr>
        <w:rPr>
          <w:b/>
          <w:bCs/>
          <w:sz w:val="19"/>
          <w:szCs w:val="19"/>
        </w:rPr>
      </w:pPr>
      <w:r w:rsidRPr="00681166">
        <w:rPr>
          <w:sz w:val="36"/>
          <w:szCs w:val="36"/>
        </w:rPr>
        <w:t>Bylaws</w:t>
      </w:r>
    </w:p>
    <w:p w14:paraId="2E863795" w14:textId="64351D7E" w:rsidR="00F85CCB" w:rsidRPr="008F4738" w:rsidRDefault="00F85CCB" w:rsidP="008F4738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  <w:r w:rsidRPr="008F4738">
        <w:rPr>
          <w:rFonts w:ascii="Calibri-Bold" w:hAnsi="Calibri-Bold" w:cs="Calibri-Bold"/>
          <w:b/>
          <w:bCs/>
          <w:sz w:val="28"/>
          <w:szCs w:val="28"/>
        </w:rPr>
        <w:t>ARTICLE VI OFFICERS</w:t>
      </w:r>
    </w:p>
    <w:p w14:paraId="0FE50F81" w14:textId="0219932E" w:rsidR="00F85CCB" w:rsidRPr="00F85CCB" w:rsidRDefault="00F85CCB" w:rsidP="00F85CCB">
      <w:pPr>
        <w:pStyle w:val="Default"/>
        <w:rPr>
          <w:rFonts w:ascii="Calibri" w:hAnsi="Calibri" w:cs="Calibri"/>
          <w:color w:val="00B0F0"/>
          <w:u w:val="single"/>
        </w:rPr>
      </w:pPr>
      <w:r w:rsidRPr="00F85CCB">
        <w:rPr>
          <w:rFonts w:ascii="Calibri" w:hAnsi="Calibri" w:cs="Calibri"/>
          <w:color w:val="auto"/>
        </w:rPr>
        <w:t>Section 2</w:t>
      </w:r>
      <w:r w:rsidRPr="00F85CCB">
        <w:rPr>
          <w:rFonts w:ascii="Calibri" w:hAnsi="Calibri" w:cs="Calibri"/>
          <w:color w:val="auto"/>
        </w:rPr>
        <w:t xml:space="preserve">G. The Parliamentarian shall be responsible for monitoring the progression of the General and Executive Board meetings; advise the Board on parliamentary procedures and Rules of Order; advise the speakers on time limits during presentations; and maintain order at General and Executive Board meetings using all legal methods available. </w:t>
      </w:r>
      <w:r w:rsidRPr="00F85CCB">
        <w:rPr>
          <w:rFonts w:ascii="Calibri" w:hAnsi="Calibri" w:cs="Calibri"/>
          <w:color w:val="00B0F0"/>
          <w:u w:val="single"/>
        </w:rPr>
        <w:t>The Parliamentarian will also serve as the Vice Chair of the Rules and Elections Committee</w:t>
      </w:r>
    </w:p>
    <w:p w14:paraId="4C91792D" w14:textId="77777777" w:rsidR="00681166" w:rsidRDefault="00681166" w:rsidP="00681166">
      <w:pPr>
        <w:rPr>
          <w:sz w:val="36"/>
          <w:szCs w:val="36"/>
        </w:rPr>
      </w:pPr>
    </w:p>
    <w:p w14:paraId="7665C0EF" w14:textId="77777777" w:rsidR="00600EE2" w:rsidRPr="00600EE2" w:rsidRDefault="00600EE2" w:rsidP="00600EE2">
      <w:pPr>
        <w:rPr>
          <w:strike/>
        </w:rPr>
      </w:pPr>
    </w:p>
    <w:sectPr w:rsidR="00600EE2" w:rsidRPr="00600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1A"/>
    <w:rsid w:val="00435959"/>
    <w:rsid w:val="00600EE2"/>
    <w:rsid w:val="00681166"/>
    <w:rsid w:val="008F4738"/>
    <w:rsid w:val="00BF051A"/>
    <w:rsid w:val="00F8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667A9"/>
  <w15:chartTrackingRefBased/>
  <w15:docId w15:val="{5849BA0D-F222-4A51-AC53-CFC0A7528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5C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Davis</dc:creator>
  <cp:keywords/>
  <dc:description/>
  <cp:lastModifiedBy>Kevin Davis</cp:lastModifiedBy>
  <cp:revision>1</cp:revision>
  <dcterms:created xsi:type="dcterms:W3CDTF">2021-10-22T01:55:00Z</dcterms:created>
  <dcterms:modified xsi:type="dcterms:W3CDTF">2021-10-22T02:49:00Z</dcterms:modified>
</cp:coreProperties>
</file>